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年研究生招生复试考试科目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、成绩计算办法及接收调剂条件</w:t>
      </w:r>
    </w:p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社会工作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jc w:val="both"/>
        <w:textAlignment w:val="auto"/>
        <w:outlineLvl w:val="9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复试考试科目</w:t>
      </w:r>
    </w:p>
    <w:tbl>
      <w:tblPr>
        <w:tblStyle w:val="4"/>
        <w:tblW w:w="74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4"/>
        <w:gridCol w:w="47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690" w:hRule="atLeast"/>
          <w:jc w:val="center"/>
        </w:trPr>
        <w:tc>
          <w:tcPr>
            <w:tcW w:w="27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473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复试科目（100分）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275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法学院</w:t>
            </w:r>
          </w:p>
        </w:tc>
        <w:tc>
          <w:tcPr>
            <w:tcW w:w="473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szCs w:val="21"/>
                <w:lang w:eastAsia="zh-CN"/>
              </w:rPr>
              <w:t>社会工作综合能力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48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同等学力加试：</w:t>
            </w: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社会工作概论、社会学概论</w:t>
            </w:r>
          </w:p>
        </w:tc>
      </w:tr>
    </w:tbl>
    <w:p>
      <w:pPr>
        <w:pStyle w:val="2"/>
        <w:numPr>
          <w:ilvl w:val="0"/>
          <w:numId w:val="2"/>
        </w:numPr>
        <w:spacing w:before="156" w:beforeLines="50" w:beforeAutospacing="0" w:after="0" w:afterAutospacing="0" w:line="480" w:lineRule="exact"/>
        <w:jc w:val="both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成绩计算办法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460" w:lineRule="exact"/>
        <w:ind w:firstLine="560" w:firstLineChars="200"/>
        <w:jc w:val="both"/>
        <w:textAlignment w:val="auto"/>
        <w:outlineLvl w:val="9"/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  <w:t>社会工作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40%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40%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华文仿宋" w:hAnsi="华文仿宋" w:eastAsia="华文仿宋" w:cs="Times New Roman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21EE73"/>
    <w:multiLevelType w:val="singleLevel"/>
    <w:tmpl w:val="CA21EE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E45A7E"/>
    <w:rsid w:val="0D653B98"/>
    <w:rsid w:val="163D01EF"/>
    <w:rsid w:val="1C990713"/>
    <w:rsid w:val="1D777E15"/>
    <w:rsid w:val="21320C7D"/>
    <w:rsid w:val="294B7E68"/>
    <w:rsid w:val="2D7C0E59"/>
    <w:rsid w:val="2EF115B2"/>
    <w:rsid w:val="4AEB1366"/>
    <w:rsid w:val="62F82DE8"/>
    <w:rsid w:val="64E74AB4"/>
    <w:rsid w:val="6ED75AD0"/>
    <w:rsid w:val="7BE937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2019-03-05T02:24:00Z</cp:lastPrinted>
  <dcterms:modified xsi:type="dcterms:W3CDTF">2019-03-21T13:00:14Z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